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44"/>
          <w:szCs w:val="44"/>
          <w:lang w:eastAsia="zh-CN"/>
        </w:rPr>
      </w:pPr>
      <w:r>
        <w:rPr>
          <w:rFonts w:hint="eastAsia"/>
          <w:b/>
          <w:sz w:val="44"/>
          <w:szCs w:val="44"/>
        </w:rPr>
        <w:t>2</w:t>
      </w:r>
      <w:r>
        <w:rPr>
          <w:b/>
          <w:sz w:val="44"/>
          <w:szCs w:val="44"/>
        </w:rPr>
        <w:t>020年</w:t>
      </w:r>
      <w:r>
        <w:rPr>
          <w:rFonts w:hint="eastAsia"/>
          <w:b/>
          <w:sz w:val="44"/>
          <w:szCs w:val="44"/>
        </w:rPr>
        <w:t>预算绩效管理工作</w:t>
      </w:r>
      <w:r>
        <w:rPr>
          <w:rFonts w:hint="eastAsia"/>
          <w:b/>
          <w:sz w:val="44"/>
          <w:szCs w:val="44"/>
          <w:lang w:eastAsia="zh-CN"/>
        </w:rPr>
        <w:t>开展情况说明</w:t>
      </w:r>
      <w:bookmarkStart w:id="0" w:name="_GoBack"/>
      <w:bookmarkEnd w:id="0"/>
    </w:p>
    <w:p>
      <w:pPr>
        <w:jc w:val="center"/>
        <w:rPr>
          <w:sz w:val="32"/>
          <w:szCs w:val="32"/>
        </w:rPr>
      </w:pPr>
    </w:p>
    <w:p>
      <w:pPr>
        <w:ind w:firstLine="640" w:firstLineChars="200"/>
        <w:rPr>
          <w:rFonts w:ascii="Times New Roman" w:hAnsi="仿宋" w:eastAsia="仿宋"/>
          <w:sz w:val="32"/>
          <w:szCs w:val="32"/>
        </w:rPr>
      </w:pPr>
      <w:r>
        <w:rPr>
          <w:rFonts w:hint="eastAsia" w:ascii="Times New Roman" w:hAnsi="仿宋" w:eastAsia="仿宋"/>
          <w:sz w:val="32"/>
          <w:szCs w:val="32"/>
        </w:rPr>
        <w:t>为深入贯彻党的十九大关于全面实施绩效管理的决策部署，认真落实《</w:t>
      </w:r>
      <w:r>
        <w:rPr>
          <w:rFonts w:ascii="Times New Roman" w:hAnsi="仿宋" w:eastAsia="仿宋"/>
          <w:sz w:val="32"/>
          <w:szCs w:val="32"/>
        </w:rPr>
        <w:t>中共中央 国务院关于全面实施预算绩效管理的意见</w:t>
      </w:r>
      <w:r>
        <w:rPr>
          <w:rFonts w:hint="eastAsia" w:ascii="Times New Roman" w:hAnsi="仿宋" w:eastAsia="仿宋"/>
          <w:sz w:val="32"/>
          <w:szCs w:val="32"/>
        </w:rPr>
        <w:t>》（中发〔</w:t>
      </w:r>
      <w:r>
        <w:rPr>
          <w:rFonts w:ascii="Times New Roman" w:hAnsi="仿宋" w:eastAsia="仿宋"/>
          <w:sz w:val="32"/>
          <w:szCs w:val="32"/>
        </w:rPr>
        <w:t>2018〕34号）</w:t>
      </w:r>
      <w:r>
        <w:rPr>
          <w:rFonts w:hint="eastAsia" w:ascii="Times New Roman" w:hAnsi="仿宋" w:eastAsia="仿宋"/>
          <w:sz w:val="32"/>
          <w:szCs w:val="32"/>
        </w:rPr>
        <w:t>和《中共四川省委</w:t>
      </w:r>
      <w:r>
        <w:rPr>
          <w:rFonts w:ascii="Times New Roman" w:hAnsi="仿宋" w:eastAsia="仿宋"/>
          <w:sz w:val="32"/>
          <w:szCs w:val="32"/>
        </w:rPr>
        <w:t xml:space="preserve"> </w:t>
      </w:r>
      <w:r>
        <w:rPr>
          <w:rFonts w:hint="eastAsia" w:ascii="Times New Roman" w:hAnsi="仿宋" w:eastAsia="仿宋"/>
          <w:sz w:val="32"/>
          <w:szCs w:val="32"/>
        </w:rPr>
        <w:t>四川省人民政府关于全面实施预算绩效管理的实施意见》（川委发〔</w:t>
      </w:r>
      <w:r>
        <w:rPr>
          <w:rFonts w:ascii="Times New Roman" w:hAnsi="仿宋" w:eastAsia="仿宋"/>
          <w:sz w:val="32"/>
          <w:szCs w:val="32"/>
        </w:rPr>
        <w:t>2019〕8</w:t>
      </w:r>
      <w:r>
        <w:rPr>
          <w:rFonts w:hint="eastAsia" w:ascii="Times New Roman" w:hAnsi="仿宋" w:eastAsia="仿宋"/>
          <w:sz w:val="32"/>
          <w:szCs w:val="32"/>
        </w:rPr>
        <w:t>号）精神，务实推动我区预算绩效管理工作。</w:t>
      </w:r>
    </w:p>
    <w:p>
      <w:pPr>
        <w:pStyle w:val="6"/>
        <w:numPr>
          <w:ilvl w:val="0"/>
          <w:numId w:val="1"/>
        </w:numPr>
        <w:ind w:left="0" w:firstLine="710" w:firstLineChars="221"/>
        <w:rPr>
          <w:rFonts w:ascii="Times New Roman" w:hAnsi="仿宋" w:eastAsia="仿宋"/>
          <w:b/>
          <w:sz w:val="32"/>
          <w:szCs w:val="32"/>
        </w:rPr>
      </w:pPr>
      <w:r>
        <w:rPr>
          <w:rFonts w:hint="eastAsia" w:ascii="Times New Roman" w:hAnsi="仿宋" w:eastAsia="仿宋"/>
          <w:b/>
          <w:sz w:val="32"/>
          <w:szCs w:val="32"/>
        </w:rPr>
        <w:t>强化绩效目标管理</w:t>
      </w:r>
    </w:p>
    <w:p>
      <w:pPr>
        <w:pStyle w:val="6"/>
        <w:numPr>
          <w:ilvl w:val="0"/>
          <w:numId w:val="2"/>
        </w:numPr>
        <w:ind w:left="0" w:firstLine="707" w:firstLineChars="221"/>
        <w:rPr>
          <w:rFonts w:ascii="Times New Roman" w:hAnsi="仿宋" w:eastAsia="仿宋"/>
          <w:sz w:val="32"/>
          <w:szCs w:val="32"/>
        </w:rPr>
      </w:pPr>
      <w:r>
        <w:rPr>
          <w:rFonts w:hint="eastAsia" w:ascii="Times New Roman" w:hAnsi="仿宋" w:eastAsia="仿宋"/>
          <w:sz w:val="32"/>
          <w:szCs w:val="32"/>
        </w:rPr>
        <w:t>健全机构。按照通区委办【2</w:t>
      </w:r>
      <w:r>
        <w:rPr>
          <w:rFonts w:ascii="Times New Roman" w:hAnsi="仿宋" w:eastAsia="仿宋"/>
          <w:sz w:val="32"/>
          <w:szCs w:val="32"/>
        </w:rPr>
        <w:t>020】</w:t>
      </w:r>
      <w:r>
        <w:rPr>
          <w:rFonts w:hint="eastAsia" w:ascii="Times New Roman" w:hAnsi="仿宋" w:eastAsia="仿宋"/>
          <w:sz w:val="32"/>
          <w:szCs w:val="32"/>
        </w:rPr>
        <w:t>5</w:t>
      </w:r>
      <w:r>
        <w:rPr>
          <w:rFonts w:ascii="Times New Roman" w:hAnsi="仿宋" w:eastAsia="仿宋"/>
          <w:sz w:val="32"/>
          <w:szCs w:val="32"/>
        </w:rPr>
        <w:t>8</w:t>
      </w:r>
      <w:r>
        <w:rPr>
          <w:rFonts w:hint="eastAsia" w:ascii="Times New Roman" w:hAnsi="仿宋" w:eastAsia="仿宋"/>
          <w:sz w:val="32"/>
          <w:szCs w:val="32"/>
        </w:rPr>
        <w:t>号《关于印发&lt;达州市通川区财政局职能配置、内设机构和人员编制规定</w:t>
      </w:r>
      <w:r>
        <w:rPr>
          <w:rFonts w:ascii="Times New Roman" w:hAnsi="仿宋" w:eastAsia="仿宋"/>
          <w:sz w:val="32"/>
          <w:szCs w:val="32"/>
        </w:rPr>
        <w:t>&gt;</w:t>
      </w:r>
      <w:r>
        <w:rPr>
          <w:rFonts w:hint="eastAsia" w:ascii="Times New Roman" w:hAnsi="仿宋" w:eastAsia="仿宋"/>
          <w:sz w:val="32"/>
          <w:szCs w:val="32"/>
        </w:rPr>
        <w:t>的通知》，成立了财政监督与绩效管理股，配置工作人 员2名，完善了预算绩效管理工作机构。</w:t>
      </w:r>
    </w:p>
    <w:p>
      <w:pPr>
        <w:pStyle w:val="6"/>
        <w:numPr>
          <w:ilvl w:val="0"/>
          <w:numId w:val="2"/>
        </w:numPr>
        <w:ind w:left="0" w:firstLine="707" w:firstLineChars="221"/>
        <w:rPr>
          <w:sz w:val="32"/>
          <w:szCs w:val="32"/>
        </w:rPr>
      </w:pPr>
      <w:r>
        <w:rPr>
          <w:rFonts w:hint="eastAsia" w:ascii="Times New Roman" w:hAnsi="仿宋" w:eastAsia="仿宋"/>
          <w:sz w:val="32"/>
          <w:szCs w:val="32"/>
        </w:rPr>
        <w:t>建立绩效目标管理机制。2</w:t>
      </w:r>
      <w:r>
        <w:rPr>
          <w:rFonts w:ascii="Times New Roman" w:hAnsi="仿宋" w:eastAsia="仿宋"/>
          <w:sz w:val="32"/>
          <w:szCs w:val="32"/>
        </w:rPr>
        <w:t>018</w:t>
      </w:r>
      <w:r>
        <w:rPr>
          <w:rFonts w:hint="eastAsia" w:ascii="Times New Roman" w:hAnsi="仿宋" w:eastAsia="仿宋"/>
          <w:sz w:val="32"/>
          <w:szCs w:val="32"/>
        </w:rPr>
        <w:t>年我区制定了《达州市通川区预算绩效目标管理办法》，从绩效目标的编制，绩效目标的审核，</w:t>
      </w:r>
      <w:r>
        <w:rPr>
          <w:rFonts w:ascii="Times New Roman" w:hAnsi="仿宋" w:eastAsia="仿宋"/>
          <w:sz w:val="32"/>
          <w:szCs w:val="32"/>
        </w:rPr>
        <w:t>绩效目标的批复、调整与应用</w:t>
      </w:r>
      <w:r>
        <w:rPr>
          <w:rFonts w:hint="eastAsia" w:ascii="Times New Roman" w:hAnsi="仿宋" w:eastAsia="仿宋"/>
          <w:sz w:val="32"/>
          <w:szCs w:val="32"/>
        </w:rPr>
        <w:t>等全过程进行了规范和管理。</w:t>
      </w:r>
      <w:r>
        <w:rPr>
          <w:rFonts w:ascii="Times New Roman" w:hAnsi="仿宋" w:eastAsia="仿宋"/>
          <w:sz w:val="32"/>
          <w:szCs w:val="32"/>
        </w:rPr>
        <w:t>进一步细化和</w:t>
      </w:r>
      <w:r>
        <w:rPr>
          <w:rFonts w:hint="eastAsia" w:ascii="Times New Roman" w:hAnsi="仿宋" w:eastAsia="仿宋"/>
          <w:sz w:val="32"/>
          <w:szCs w:val="32"/>
        </w:rPr>
        <w:t>完善</w:t>
      </w:r>
      <w:r>
        <w:rPr>
          <w:rFonts w:ascii="Times New Roman" w:hAnsi="仿宋" w:eastAsia="仿宋"/>
          <w:sz w:val="32"/>
          <w:szCs w:val="32"/>
        </w:rPr>
        <w:t>了《专项预算绩效目标申报表》、《整体支出绩效目标申报表》、《项目支出绩效目标自评表》、《整体支出绩效目标自评表》</w:t>
      </w:r>
      <w:r>
        <w:rPr>
          <w:rFonts w:hint="eastAsia" w:ascii="Times New Roman" w:hAnsi="仿宋" w:eastAsia="仿宋"/>
          <w:sz w:val="32"/>
          <w:szCs w:val="32"/>
        </w:rPr>
        <w:t>和绩效评价自评报告</w:t>
      </w:r>
      <w:r>
        <w:rPr>
          <w:rFonts w:ascii="Times New Roman" w:hAnsi="仿宋" w:eastAsia="仿宋"/>
          <w:sz w:val="32"/>
          <w:szCs w:val="32"/>
        </w:rPr>
        <w:t>，</w:t>
      </w:r>
      <w:r>
        <w:rPr>
          <w:rFonts w:hint="eastAsia" w:ascii="Times New Roman" w:hAnsi="仿宋" w:eastAsia="仿宋"/>
          <w:sz w:val="32"/>
          <w:szCs w:val="32"/>
        </w:rPr>
        <w:t>确立了</w:t>
      </w:r>
      <w:r>
        <w:rPr>
          <w:rFonts w:ascii="Times New Roman" w:hAnsi="仿宋" w:eastAsia="仿宋"/>
          <w:sz w:val="32"/>
          <w:szCs w:val="32"/>
        </w:rPr>
        <w:t>《项目支出绩效评价指标体系》、《财政政策绩效评价指标体系》和《通川区绩效目标管理流程》等系列措施，完善绩效目标、预算编制、执行、结果运用等指标，预算绩效框架</w:t>
      </w:r>
      <w:r>
        <w:rPr>
          <w:rFonts w:hint="eastAsia" w:ascii="Times New Roman" w:hAnsi="仿宋" w:eastAsia="仿宋"/>
          <w:sz w:val="32"/>
          <w:szCs w:val="32"/>
        </w:rPr>
        <w:t>基本</w:t>
      </w:r>
      <w:r>
        <w:rPr>
          <w:rFonts w:ascii="Times New Roman" w:hAnsi="仿宋" w:eastAsia="仿宋"/>
          <w:sz w:val="32"/>
          <w:szCs w:val="32"/>
        </w:rPr>
        <w:t>建立</w:t>
      </w:r>
      <w:r>
        <w:rPr>
          <w:rFonts w:hint="eastAsia" w:ascii="Times New Roman" w:hAnsi="仿宋" w:eastAsia="仿宋"/>
          <w:sz w:val="32"/>
          <w:szCs w:val="32"/>
        </w:rPr>
        <w:t>。</w:t>
      </w:r>
    </w:p>
    <w:p>
      <w:pPr>
        <w:pStyle w:val="6"/>
        <w:numPr>
          <w:ilvl w:val="0"/>
          <w:numId w:val="2"/>
        </w:numPr>
        <w:ind w:left="0" w:firstLine="707" w:firstLineChars="221"/>
        <w:rPr>
          <w:sz w:val="32"/>
          <w:szCs w:val="32"/>
        </w:rPr>
      </w:pPr>
      <w:r>
        <w:rPr>
          <w:rFonts w:hint="eastAsia" w:ascii="Times New Roman" w:hAnsi="仿宋" w:eastAsia="仿宋"/>
          <w:sz w:val="32"/>
          <w:szCs w:val="32"/>
        </w:rPr>
        <w:t>绩效目标与预算资金同步。自2</w:t>
      </w:r>
      <w:r>
        <w:rPr>
          <w:rFonts w:ascii="Times New Roman" w:hAnsi="仿宋" w:eastAsia="仿宋"/>
          <w:sz w:val="32"/>
          <w:szCs w:val="32"/>
        </w:rPr>
        <w:t>018</w:t>
      </w:r>
      <w:r>
        <w:rPr>
          <w:rFonts w:hint="eastAsia" w:ascii="Times New Roman" w:hAnsi="仿宋" w:eastAsia="仿宋"/>
          <w:sz w:val="32"/>
          <w:szCs w:val="32"/>
        </w:rPr>
        <w:t>年起，我区绩效目标管理覆盖了全部预算单位，各预算单位在报送单位年初预算的同时需编制和上报部分整体支出绩效目标及专项支出绩效目标表，财政批复预算同步下达，做到了绩效目标与预算资金“编审同步、上会同步、批复同步、公开同步”。</w:t>
      </w:r>
    </w:p>
    <w:p>
      <w:pPr>
        <w:pStyle w:val="6"/>
        <w:numPr>
          <w:ilvl w:val="0"/>
          <w:numId w:val="1"/>
        </w:numPr>
        <w:ind w:left="0" w:firstLine="567" w:firstLineChars="0"/>
        <w:rPr>
          <w:rFonts w:ascii="Times New Roman" w:hAnsi="仿宋" w:eastAsia="仿宋"/>
          <w:b/>
          <w:sz w:val="32"/>
          <w:szCs w:val="32"/>
        </w:rPr>
      </w:pPr>
      <w:r>
        <w:rPr>
          <w:rFonts w:hint="eastAsia" w:ascii="Times New Roman" w:hAnsi="仿宋" w:eastAsia="仿宋"/>
          <w:b/>
          <w:sz w:val="32"/>
          <w:szCs w:val="32"/>
        </w:rPr>
        <w:t>深入推进绩效评价</w:t>
      </w:r>
    </w:p>
    <w:p>
      <w:pPr>
        <w:pStyle w:val="6"/>
        <w:numPr>
          <w:ilvl w:val="2"/>
          <w:numId w:val="1"/>
        </w:numPr>
        <w:ind w:left="0" w:firstLine="567" w:firstLineChars="0"/>
        <w:rPr>
          <w:rFonts w:ascii="Times New Roman" w:hAnsi="仿宋" w:eastAsia="仿宋"/>
          <w:sz w:val="32"/>
          <w:szCs w:val="32"/>
        </w:rPr>
      </w:pPr>
      <w:r>
        <w:rPr>
          <w:rFonts w:hint="eastAsia" w:ascii="Times New Roman" w:hAnsi="仿宋" w:eastAsia="仿宋"/>
          <w:sz w:val="32"/>
          <w:szCs w:val="32"/>
        </w:rPr>
        <w:t>绩效领域深化拓展。我区将绩效评价领域由单一的支出评价拓展到组织预算收入、论证立项、一般公共预算、国有资本经营预算、政府性基金预算、社保基金预算、整体支出、项目支出等方面。绩效运用初显成效，支出申报时数量、质量、时效、成本、可持续程度等绩效指标导向贯穿其中。</w:t>
      </w:r>
    </w:p>
    <w:p>
      <w:pPr>
        <w:pStyle w:val="6"/>
        <w:numPr>
          <w:ilvl w:val="2"/>
          <w:numId w:val="1"/>
        </w:numPr>
        <w:ind w:left="0" w:firstLine="567" w:firstLineChars="0"/>
        <w:rPr>
          <w:rFonts w:ascii="Times New Roman" w:hAnsi="仿宋" w:eastAsia="仿宋"/>
          <w:sz w:val="32"/>
          <w:szCs w:val="32"/>
        </w:rPr>
      </w:pPr>
      <w:r>
        <w:rPr>
          <w:rFonts w:hint="eastAsia" w:ascii="Times New Roman" w:hAnsi="仿宋" w:eastAsia="仿宋"/>
          <w:sz w:val="32"/>
          <w:szCs w:val="32"/>
        </w:rPr>
        <w:t>从2</w:t>
      </w:r>
      <w:r>
        <w:rPr>
          <w:rFonts w:ascii="Times New Roman" w:hAnsi="仿宋" w:eastAsia="仿宋"/>
          <w:sz w:val="32"/>
          <w:szCs w:val="32"/>
        </w:rPr>
        <w:t>017</w:t>
      </w:r>
      <w:r>
        <w:rPr>
          <w:rFonts w:hint="eastAsia" w:ascii="Times New Roman" w:hAnsi="仿宋" w:eastAsia="仿宋"/>
          <w:sz w:val="32"/>
          <w:szCs w:val="32"/>
        </w:rPr>
        <w:t>年起，我区财政绩效评价工作分别由区财政局和第三方机构分头开展，覆盖了我区全部预算单位，覆盖率为100%，今年启动了“四本预算”的绩效评价工作。2</w:t>
      </w:r>
      <w:r>
        <w:rPr>
          <w:rFonts w:ascii="Times New Roman" w:hAnsi="仿宋" w:eastAsia="仿宋"/>
          <w:sz w:val="32"/>
          <w:szCs w:val="32"/>
        </w:rPr>
        <w:t>020</w:t>
      </w:r>
      <w:r>
        <w:rPr>
          <w:rFonts w:hint="eastAsia" w:ascii="Times New Roman" w:hAnsi="仿宋" w:eastAsia="仿宋"/>
          <w:sz w:val="32"/>
          <w:szCs w:val="32"/>
        </w:rPr>
        <w:t>年通过预算单位自评、财政评价和第三方机构评价等方式，重点开展了所有预算单位的整体支出绩效，教育系统的营养餐、特教经费等项目，部分单位的重点建设项目支出绩效，开展了农业保险和扶贫资金等政策性绩效评价工作，共分类形成绩效评价自评报告</w:t>
      </w:r>
      <w:r>
        <w:rPr>
          <w:rFonts w:ascii="Times New Roman" w:hAnsi="仿宋" w:eastAsia="仿宋"/>
          <w:sz w:val="32"/>
          <w:szCs w:val="32"/>
        </w:rPr>
        <w:t>211</w:t>
      </w:r>
      <w:r>
        <w:rPr>
          <w:rFonts w:hint="eastAsia" w:ascii="Times New Roman" w:hAnsi="仿宋" w:eastAsia="仿宋"/>
          <w:sz w:val="32"/>
          <w:szCs w:val="32"/>
        </w:rPr>
        <w:t>份，财政绩效评价报告</w:t>
      </w:r>
      <w:r>
        <w:rPr>
          <w:rFonts w:ascii="Times New Roman" w:hAnsi="仿宋" w:eastAsia="仿宋"/>
          <w:sz w:val="32"/>
          <w:szCs w:val="32"/>
        </w:rPr>
        <w:t>47</w:t>
      </w:r>
      <w:r>
        <w:rPr>
          <w:rFonts w:hint="eastAsia" w:ascii="Times New Roman" w:hAnsi="仿宋" w:eastAsia="仿宋"/>
          <w:sz w:val="32"/>
          <w:szCs w:val="32"/>
        </w:rPr>
        <w:t>份；第三方机构形成绩效评价报告</w:t>
      </w:r>
      <w:r>
        <w:rPr>
          <w:rFonts w:ascii="Times New Roman" w:hAnsi="仿宋" w:eastAsia="仿宋"/>
          <w:sz w:val="32"/>
          <w:szCs w:val="32"/>
        </w:rPr>
        <w:t>108</w:t>
      </w:r>
      <w:r>
        <w:rPr>
          <w:rFonts w:hint="eastAsia" w:ascii="Times New Roman" w:hAnsi="仿宋" w:eastAsia="仿宋"/>
          <w:sz w:val="32"/>
          <w:szCs w:val="32"/>
        </w:rPr>
        <w:t>份。</w:t>
      </w:r>
    </w:p>
    <w:p>
      <w:pPr>
        <w:spacing w:line="578" w:lineRule="exact"/>
        <w:ind w:firstLine="640" w:firstLineChars="200"/>
        <w:rPr>
          <w:rFonts w:ascii="黑体" w:hAnsi="黑体" w:eastAsia="黑体"/>
          <w:sz w:val="32"/>
          <w:szCs w:val="32"/>
        </w:rPr>
      </w:pPr>
      <w:r>
        <w:rPr>
          <w:rFonts w:hint="eastAsia" w:ascii="黑体" w:hAnsi="黑体" w:eastAsia="黑体"/>
          <w:sz w:val="32"/>
          <w:szCs w:val="32"/>
        </w:rPr>
        <w:t>三、</w:t>
      </w:r>
      <w:r>
        <w:rPr>
          <w:rFonts w:ascii="Times New Roman" w:hAnsi="黑体" w:eastAsia="黑体"/>
          <w:sz w:val="32"/>
          <w:szCs w:val="32"/>
        </w:rPr>
        <w:t>下一步工作打算</w:t>
      </w:r>
    </w:p>
    <w:p>
      <w:pPr>
        <w:pStyle w:val="6"/>
        <w:ind w:firstLine="707" w:firstLineChars="221"/>
        <w:rPr>
          <w:sz w:val="32"/>
          <w:szCs w:val="32"/>
        </w:rPr>
      </w:pPr>
      <w:r>
        <w:rPr>
          <w:rFonts w:hint="eastAsia" w:ascii="Times New Roman" w:hAnsi="仿宋" w:eastAsia="仿宋"/>
          <w:sz w:val="32"/>
          <w:szCs w:val="32"/>
        </w:rPr>
        <w:t>我区绩效管理与中央、省、市全面实施预算绩效管理的新要求相比，我区预算绩效管理还存在以下还需改进的方面。一是行业间绩效指标体系不健全，具体表现在：现行体系较为适用于区级预算单位和教育系统，卫生系统适用性较差；乡镇体系中，存在辅助单项考核指标占比过高，未全面反映出乡镇事权支出效益。二是整体、项目绩效目标与使用方向不完全契合。三是对新出台重大政策、项目等方面未建立事前绩效评估机制。四是对绩效目标实现程序和预算执行进度未实行“双监控”。五是预算绩效结果运用刚性不强，上年绩效评价结果较差的项目在来年继续预算后仍然效果较差。</w:t>
      </w:r>
    </w:p>
    <w:p>
      <w:pPr>
        <w:spacing w:line="578" w:lineRule="exact"/>
        <w:ind w:firstLine="566" w:firstLineChars="177"/>
        <w:rPr>
          <w:rFonts w:ascii="Times New Roman" w:hAnsi="仿宋" w:eastAsia="仿宋"/>
          <w:sz w:val="32"/>
          <w:szCs w:val="32"/>
        </w:rPr>
      </w:pPr>
      <w:r>
        <w:rPr>
          <w:rFonts w:hint="eastAsia" w:ascii="Times New Roman" w:hAnsi="仿宋" w:eastAsia="仿宋"/>
          <w:sz w:val="32"/>
          <w:szCs w:val="32"/>
        </w:rPr>
        <w:t>一是按照相关要求，尽快建立绩效管理信息系统，健全绩效目标库，通过公开信息发布的方式让各预算单位能随时掌握预算指标情况，按照指标要求动态监测预算执行情况，使绩效评价成为常态化，为预算执行提供有力的监督及保障。加强绩效管理工作考核和通报制度，考核结果作为增减预算安排，调整支出方向的重要参考依据。</w:t>
      </w:r>
    </w:p>
    <w:p>
      <w:pPr>
        <w:spacing w:line="578" w:lineRule="exact"/>
        <w:ind w:firstLine="566" w:firstLineChars="177"/>
        <w:rPr>
          <w:rFonts w:ascii="Times New Roman" w:hAnsi="仿宋" w:eastAsia="仿宋"/>
          <w:sz w:val="32"/>
          <w:szCs w:val="32"/>
        </w:rPr>
      </w:pPr>
      <w:r>
        <w:rPr>
          <w:rFonts w:hint="eastAsia" w:ascii="Times New Roman" w:hAnsi="仿宋" w:eastAsia="仿宋"/>
          <w:sz w:val="32"/>
          <w:szCs w:val="32"/>
        </w:rPr>
        <w:t>二是按照《中共四川省委四川省人民政府关于全面实施预算绩效管理的实施意见》（川委发〔2019〕8号）要求逐项对标，分行业建立绩效评价体系，进一步完善各项指标特征。重点关注并解决我区预算绩效管理中存在的共性问题；重点瞄准违反规定个例，采用收回资金、调整预算、等方式坚决予以查处，不断强化绩效评价结果运用。</w:t>
      </w:r>
    </w:p>
    <w:p>
      <w:pPr>
        <w:spacing w:line="578" w:lineRule="exact"/>
        <w:ind w:firstLine="566" w:firstLineChars="177"/>
        <w:rPr>
          <w:rFonts w:ascii="Times New Roman" w:hAnsi="仿宋" w:eastAsia="仿宋"/>
          <w:sz w:val="32"/>
          <w:szCs w:val="32"/>
        </w:rPr>
      </w:pPr>
      <w:r>
        <w:rPr>
          <w:rFonts w:hint="eastAsia" w:ascii="Times New Roman" w:hAnsi="仿宋" w:eastAsia="仿宋"/>
          <w:sz w:val="32"/>
          <w:szCs w:val="32"/>
        </w:rPr>
        <w:t>三是加强绩效管理工作培训，通过绩效目标的编制，绩效目标的审核，</w:t>
      </w:r>
      <w:r>
        <w:rPr>
          <w:rFonts w:ascii="Times New Roman" w:hAnsi="仿宋" w:eastAsia="仿宋"/>
          <w:sz w:val="32"/>
          <w:szCs w:val="32"/>
        </w:rPr>
        <w:t>绩效目标的批复、调整与应用</w:t>
      </w:r>
      <w:r>
        <w:rPr>
          <w:rFonts w:hint="eastAsia" w:ascii="Times New Roman" w:hAnsi="仿宋" w:eastAsia="仿宋"/>
          <w:sz w:val="32"/>
          <w:szCs w:val="32"/>
        </w:rPr>
        <w:t>等全过程培训，不断提升绩效管理水平，增强各单位“花钱必问效、无效必问责”的绩效管理理念。</w:t>
      </w: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566" w:firstLineChars="177"/>
        <w:rPr>
          <w:rFonts w:ascii="Times New Roman" w:hAnsi="仿宋" w:eastAsia="仿宋"/>
          <w:sz w:val="32"/>
          <w:szCs w:val="32"/>
        </w:rPr>
      </w:pPr>
    </w:p>
    <w:p>
      <w:pPr>
        <w:spacing w:line="578" w:lineRule="exact"/>
        <w:ind w:firstLine="4393" w:firstLineChars="1373"/>
        <w:rPr>
          <w:rFonts w:ascii="Times New Roman"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7F7DD8"/>
    <w:multiLevelType w:val="multilevel"/>
    <w:tmpl w:val="2A7F7DD8"/>
    <w:lvl w:ilvl="0" w:tentative="0">
      <w:start w:val="1"/>
      <w:numFmt w:val="japaneseCounting"/>
      <w:lvlText w:val="%1、"/>
      <w:lvlJc w:val="left"/>
      <w:pPr>
        <w:ind w:left="1713" w:hanging="720"/>
      </w:pPr>
      <w:rPr>
        <w:rFonts w:hint="default"/>
      </w:rPr>
    </w:lvl>
    <w:lvl w:ilvl="1" w:tentative="0">
      <w:start w:val="1"/>
      <w:numFmt w:val="decimal"/>
      <w:lvlText w:val="%2、"/>
      <w:lvlJc w:val="left"/>
      <w:pPr>
        <w:ind w:left="1780" w:hanging="720"/>
      </w:pPr>
      <w:rPr>
        <w:rFonts w:hint="default" w:ascii="Times New Roman" w:hAnsi="仿宋" w:eastAsia="仿宋"/>
      </w:rPr>
    </w:lvl>
    <w:lvl w:ilvl="2" w:tentative="0">
      <w:start w:val="1"/>
      <w:numFmt w:val="decimal"/>
      <w:lvlText w:val="%3．"/>
      <w:lvlJc w:val="left"/>
      <w:pPr>
        <w:ind w:left="2200" w:hanging="720"/>
      </w:pPr>
      <w:rPr>
        <w:rFonts w:ascii="Times New Roman" w:hAnsi="仿宋" w:eastAsia="仿宋" w:cstheme="minorBidi"/>
      </w:r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70C044C4"/>
    <w:multiLevelType w:val="multilevel"/>
    <w:tmpl w:val="70C044C4"/>
    <w:lvl w:ilvl="0" w:tentative="0">
      <w:start w:val="1"/>
      <w:numFmt w:val="decimal"/>
      <w:lvlText w:val="%1．"/>
      <w:lvlJc w:val="left"/>
      <w:pPr>
        <w:ind w:left="1427" w:hanging="720"/>
      </w:pPr>
      <w:rPr>
        <w:rFonts w:hint="default"/>
      </w:rPr>
    </w:lvl>
    <w:lvl w:ilvl="1" w:tentative="0">
      <w:start w:val="1"/>
      <w:numFmt w:val="lowerLetter"/>
      <w:lvlText w:val="%2)"/>
      <w:lvlJc w:val="left"/>
      <w:pPr>
        <w:ind w:left="1547" w:hanging="420"/>
      </w:pPr>
    </w:lvl>
    <w:lvl w:ilvl="2" w:tentative="0">
      <w:start w:val="1"/>
      <w:numFmt w:val="lowerRoman"/>
      <w:lvlText w:val="%3."/>
      <w:lvlJc w:val="right"/>
      <w:pPr>
        <w:ind w:left="1967" w:hanging="420"/>
      </w:pPr>
    </w:lvl>
    <w:lvl w:ilvl="3" w:tentative="0">
      <w:start w:val="1"/>
      <w:numFmt w:val="decimal"/>
      <w:lvlText w:val="%4."/>
      <w:lvlJc w:val="left"/>
      <w:pPr>
        <w:ind w:left="2387" w:hanging="420"/>
      </w:pPr>
    </w:lvl>
    <w:lvl w:ilvl="4" w:tentative="0">
      <w:start w:val="1"/>
      <w:numFmt w:val="lowerLetter"/>
      <w:lvlText w:val="%5)"/>
      <w:lvlJc w:val="left"/>
      <w:pPr>
        <w:ind w:left="2807" w:hanging="420"/>
      </w:pPr>
    </w:lvl>
    <w:lvl w:ilvl="5" w:tentative="0">
      <w:start w:val="1"/>
      <w:numFmt w:val="lowerRoman"/>
      <w:lvlText w:val="%6."/>
      <w:lvlJc w:val="right"/>
      <w:pPr>
        <w:ind w:left="3227" w:hanging="420"/>
      </w:pPr>
    </w:lvl>
    <w:lvl w:ilvl="6" w:tentative="0">
      <w:start w:val="1"/>
      <w:numFmt w:val="decimal"/>
      <w:lvlText w:val="%7."/>
      <w:lvlJc w:val="left"/>
      <w:pPr>
        <w:ind w:left="3647" w:hanging="420"/>
      </w:pPr>
    </w:lvl>
    <w:lvl w:ilvl="7" w:tentative="0">
      <w:start w:val="1"/>
      <w:numFmt w:val="lowerLetter"/>
      <w:lvlText w:val="%8)"/>
      <w:lvlJc w:val="left"/>
      <w:pPr>
        <w:ind w:left="4067" w:hanging="420"/>
      </w:pPr>
    </w:lvl>
    <w:lvl w:ilvl="8" w:tentative="0">
      <w:start w:val="1"/>
      <w:numFmt w:val="lowerRoman"/>
      <w:lvlText w:val="%9."/>
      <w:lvlJc w:val="right"/>
      <w:pPr>
        <w:ind w:left="4487"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k4ZjIyMWNiOGVmYjIwZTQxNmVlMjAxYjQ3NTU0NTYifQ=="/>
  </w:docVars>
  <w:rsids>
    <w:rsidRoot w:val="0034217A"/>
    <w:rsid w:val="001D2670"/>
    <w:rsid w:val="0034217A"/>
    <w:rsid w:val="003B16FD"/>
    <w:rsid w:val="005B6EB6"/>
    <w:rsid w:val="00640E36"/>
    <w:rsid w:val="006C234A"/>
    <w:rsid w:val="00711EC3"/>
    <w:rsid w:val="00BA1AE2"/>
    <w:rsid w:val="00C238B1"/>
    <w:rsid w:val="00C975DF"/>
    <w:rsid w:val="00D3569D"/>
    <w:rsid w:val="00E508E9"/>
    <w:rsid w:val="230728DD"/>
    <w:rsid w:val="632A1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6C6"/>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1598</Words>
  <Characters>1635</Characters>
  <Lines>12</Lines>
  <Paragraphs>3</Paragraphs>
  <TotalTime>1</TotalTime>
  <ScaleCrop>false</ScaleCrop>
  <LinksUpToDate>false</LinksUpToDate>
  <CharactersWithSpaces>1638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2021-08-16T03:56:00Z</dcterms:created>
  <dc:creator>Administrator</dc:creator>
  <cp:lastModifiedBy>Administrator</cp:lastModifiedBy>
  <dcterms:modified xsi:type="dcterms:W3CDTF">2022-07-28T06:37:49Z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C3938B7BC95E49FBBCB1E4EE31851849</vt:lpwstr>
  </property>
</Properties>
</file>